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52" w:rsidRDefault="004D5052" w:rsidP="008E54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принятых решениях и мерах</w:t>
      </w:r>
    </w:p>
    <w:p w:rsidR="004D5052" w:rsidRDefault="004D5052" w:rsidP="008E54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4D5052" w:rsidRDefault="004D5052" w:rsidP="008E545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бюджетном учреждении Озерского городского округа театр кукол «Золотой петушок» (представление от 13.02.2023 №1)</w:t>
      </w:r>
    </w:p>
    <w:p w:rsidR="004D5052" w:rsidRDefault="004D5052" w:rsidP="004D5052">
      <w:pPr>
        <w:jc w:val="both"/>
        <w:rPr>
          <w:sz w:val="28"/>
          <w:szCs w:val="28"/>
        </w:rPr>
      </w:pPr>
    </w:p>
    <w:p w:rsidR="004D5052" w:rsidRDefault="004D5052" w:rsidP="008E545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25 «мая» 2023г.</w:t>
      </w:r>
    </w:p>
    <w:p w:rsidR="004D5052" w:rsidRDefault="004D5052" w:rsidP="004D5052">
      <w:pPr>
        <w:jc w:val="both"/>
        <w:outlineLvl w:val="0"/>
        <w:rPr>
          <w:sz w:val="28"/>
          <w:szCs w:val="28"/>
        </w:rPr>
      </w:pPr>
    </w:p>
    <w:p w:rsidR="004D5052" w:rsidRDefault="004D5052" w:rsidP="004D5052">
      <w:pPr>
        <w:jc w:val="both"/>
        <w:outlineLvl w:val="0"/>
        <w:rPr>
          <w:rStyle w:val="1"/>
        </w:rPr>
      </w:pPr>
      <w:r>
        <w:rPr>
          <w:sz w:val="28"/>
          <w:szCs w:val="28"/>
        </w:rPr>
        <w:tab/>
        <w:t xml:space="preserve">Контрольное мероприятие проведено </w:t>
      </w:r>
      <w:r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</w:rPr>
        <w:t xml:space="preserve"> соответствии с пунктом 11 Плана работы на 2022 год, утвержденного распоряжением Контрольно-счетной палаты Озерского городского округа от 30.12.2021 № 60, пункта 1.1 Плана работы на 2023 год, утвержденного распоряжением Контрольно-счетной палаты Озерского городского округа от 26.12.2022 № 89.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1"/>
          <w:szCs w:val="28"/>
        </w:rPr>
        <w:tab/>
      </w:r>
      <w:r>
        <w:rPr>
          <w:rStyle w:val="4"/>
        </w:rPr>
        <w:t>По результатам контрольного мероприятия в адрес руководителя МБУ ТК «Золотой петушок» направлено представление Контрольно-счетной палаты Озерского городского округа Челябинской области от 13.02.2023 № 1, в адрес руководителя Управления культуры и молодежной политики администрации Озерского городского округа Челябинской области направлено представление Контрольно-счетной палаты Озерского городского округа Челябинской области от 13.02.2023 № 2.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В рамках исполнения представления от 13.02.2023 №1 МБУ ТК «Золотой петушок» (далее – Учреждение) приняты следующие меры по устранению выявленных нарушений: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сформированы обоснования (расчеты) плановых показателей по доходам и расходам к плану ФХД;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план ФХД формируется с учетом остатка денежных средств в кассе и на лицевых счетах Учреждения;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 xml:space="preserve">- информация в форме 0503737 за 2022 год отражена в соответствии с доведенными плановыми показателями субсидий; 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договоры о полной индивидуальной ответственности с вновь принятыми работниками (в том числе работавших ранее в Учреждении) заключаются своевременно;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 ведется контроль за накоплением наличных средств сверх установленного лимита;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составляются списки выданных пригласительных билетов, которые подшиваются ежемесячно к отчету по билетному хозяйству;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бухгалтерская отчетность в части доходов будущих периодов составляется в соответствии с Соглашением о предоставлении субсидии на выполнение муниципального задания;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первичные учетные документы на оказание услуг (работ) принимаются к учету своевременно;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внесены изменения в регистры бухгалтерского учета по отражению расходов будущих периодов;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при передаче имущества на хранение составлен перечень переданного имущества, оформлены акты приема-передачи;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lastRenderedPageBreak/>
        <w:tab/>
        <w:t>- разработан и утвержден расчет стоимости театральных билетов на спектакли;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на бесплатные услуги оформляются бесплатные пригласительные билеты;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внесены изменения в Устав Учреждения, уточнены и расширены виды иной приносящей доход деятельности;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 внесены изменение в регистры бухгалтерского учета и отчетность в части отражения земельных участков и имущества, полученного в пользование, на забалансовых счетах;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отражены в регистрах бухгалтерского учета права пользования нематериальными активами;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служебное жилое помещение (квартиры) предоставляется в субаренду квартиру в соответствии с требованиями действующего законодательства;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на работников по должности сторож (вахтер) ведется табель учета рабочего времени;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Учреждением утвержден приказ «Об утверждении формы расчетного листка»;</w:t>
      </w:r>
    </w:p>
    <w:p w:rsidR="004D5052" w:rsidRDefault="004D5052" w:rsidP="004D5052">
      <w:pPr>
        <w:ind w:firstLine="708"/>
        <w:jc w:val="both"/>
        <w:outlineLvl w:val="0"/>
        <w:rPr>
          <w:rStyle w:val="4"/>
        </w:rPr>
      </w:pPr>
      <w:r>
        <w:rPr>
          <w:rStyle w:val="4"/>
        </w:rPr>
        <w:t>- выплата заработной платы осуществляется в сроки, установленные Правилами внутреннего трудового распорядка;</w:t>
      </w:r>
    </w:p>
    <w:p w:rsidR="004D5052" w:rsidRDefault="004D5052" w:rsidP="004D5052">
      <w:pPr>
        <w:ind w:firstLine="708"/>
        <w:jc w:val="both"/>
        <w:outlineLvl w:val="0"/>
        <w:rPr>
          <w:rStyle w:val="4"/>
        </w:rPr>
      </w:pPr>
      <w:r>
        <w:rPr>
          <w:rStyle w:val="4"/>
        </w:rPr>
        <w:t>- проведена работа по внесению изменений в Положение об оплате труда работников МБУ ТУ «Золотой петушок»;</w:t>
      </w:r>
    </w:p>
    <w:p w:rsidR="004D5052" w:rsidRDefault="004D5052" w:rsidP="004D5052">
      <w:pPr>
        <w:ind w:firstLine="708"/>
        <w:jc w:val="both"/>
        <w:outlineLvl w:val="0"/>
        <w:rPr>
          <w:rStyle w:val="4"/>
        </w:rPr>
      </w:pPr>
      <w:r>
        <w:rPr>
          <w:rStyle w:val="4"/>
        </w:rPr>
        <w:t xml:space="preserve">- выплата заработной платы осуществляется в сроки, установленные Правилами внутреннего трудового распорядка; </w:t>
      </w:r>
    </w:p>
    <w:p w:rsidR="004D5052" w:rsidRDefault="004D5052" w:rsidP="004D5052">
      <w:pPr>
        <w:ind w:firstLine="708"/>
        <w:jc w:val="both"/>
        <w:outlineLvl w:val="0"/>
        <w:rPr>
          <w:rStyle w:val="4"/>
        </w:rPr>
      </w:pPr>
      <w:r>
        <w:rPr>
          <w:rStyle w:val="4"/>
        </w:rPr>
        <w:t>- произведен перерасчет заработной платы, суммы не начисленной зарплаты выплачены работникам, суммы излишне начисленной зарплаты удержаны по заявления работников;</w:t>
      </w:r>
    </w:p>
    <w:p w:rsidR="004D5052" w:rsidRDefault="004D5052" w:rsidP="004D5052">
      <w:pPr>
        <w:ind w:firstLine="708"/>
        <w:jc w:val="both"/>
        <w:outlineLvl w:val="0"/>
        <w:rPr>
          <w:rStyle w:val="4"/>
        </w:rPr>
      </w:pPr>
      <w:r>
        <w:rPr>
          <w:rStyle w:val="4"/>
        </w:rPr>
        <w:t xml:space="preserve"> - в кассу Учреждения возвращены повторно выданные денежные средства на хозяйственные расходы и принятые к учету по авансовому отчету.    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 xml:space="preserve">В рамках исполнения представления от 13.02.2023 № 2 Управлением культуры и молодежной политики (далее – Управление культуры) приняты следующие меры по устранению выявленных нарушений: 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разработаны и утверждены нормативные затраты на выполнение муниципальных работ за 2021 и 2022 годы;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- разработан и утвержден Порядок определения платы за иные услуги (работы), предоставляемые (выполняемые) муниципальными учреждениями в рамках иной приносящей доход деятельности).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Кроме этого, в администрацию Озерского городского округа 25.05.2023 направлен Проект изменений в Положение об оплате труда работников муниципальных бюджетных и казенных учреждений, функции и полномочия учредителя в отношении которых осуществляет Управление культуры администрации Озерского городского округа Челябинской области, утвержденное постановлением администрации Озерского городского округа от 27.07.2020 № 1605.</w:t>
      </w:r>
    </w:p>
    <w:p w:rsidR="004D5052" w:rsidRDefault="004D5052" w:rsidP="004D5052">
      <w:pPr>
        <w:jc w:val="both"/>
        <w:outlineLvl w:val="0"/>
        <w:rPr>
          <w:rStyle w:val="4"/>
        </w:rPr>
      </w:pPr>
      <w:r>
        <w:rPr>
          <w:rStyle w:val="4"/>
        </w:rPr>
        <w:tab/>
        <w:t>К дисциплинарной ответственности привлечены 4 работника учреждения, к административной ответственности 1 должностное лицо.</w:t>
      </w:r>
    </w:p>
    <w:p w:rsidR="005C47C1" w:rsidRDefault="004D5052" w:rsidP="004D5052">
      <w:pPr>
        <w:jc w:val="both"/>
      </w:pPr>
      <w:r>
        <w:rPr>
          <w:rStyle w:val="4"/>
        </w:rPr>
        <w:lastRenderedPageBreak/>
        <w:tab/>
        <w:t>Ввиду неполного устранения МБУ ТК «Золотой петушок» 15 нарушений представление от 13.02.2023 № 1 остается на контроле Контрольно-счетной палаты Озерского городского округа Челябинской области до полного их устранения.</w:t>
      </w:r>
      <w:r>
        <w:rPr>
          <w:rStyle w:val="4"/>
        </w:rPr>
        <w:tab/>
      </w:r>
    </w:p>
    <w:sectPr w:rsidR="005C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2"/>
    <w:rsid w:val="004D5052"/>
    <w:rsid w:val="005C47C1"/>
    <w:rsid w:val="008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CCC8-2137-4180-AAF7-F37B4DE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uiPriority w:val="99"/>
    <w:locked/>
    <w:rsid w:val="004D5052"/>
    <w:rPr>
      <w:sz w:val="28"/>
    </w:rPr>
  </w:style>
  <w:style w:type="paragraph" w:customStyle="1" w:styleId="10">
    <w:name w:val="Стиль1"/>
    <w:basedOn w:val="a"/>
    <w:link w:val="1"/>
    <w:uiPriority w:val="99"/>
    <w:qFormat/>
    <w:rsid w:val="004D5052"/>
    <w:pPr>
      <w:ind w:left="-567" w:firstLine="2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4">
    <w:name w:val="Стиль4 Знак"/>
    <w:link w:val="40"/>
    <w:uiPriority w:val="99"/>
    <w:locked/>
    <w:rsid w:val="004D5052"/>
    <w:rPr>
      <w:sz w:val="28"/>
    </w:rPr>
  </w:style>
  <w:style w:type="paragraph" w:customStyle="1" w:styleId="40">
    <w:name w:val="Стиль4"/>
    <w:basedOn w:val="10"/>
    <w:link w:val="4"/>
    <w:uiPriority w:val="99"/>
    <w:rsid w:val="004D505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4230</Characters>
  <Application>Microsoft Office Word</Application>
  <DocSecurity>0</DocSecurity>
  <Lines>35</Lines>
  <Paragraphs>9</Paragraphs>
  <ScaleCrop>false</ScaleCrop>
  <Company>*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2023-08-05T07:24:00Z</dcterms:created>
  <dcterms:modified xsi:type="dcterms:W3CDTF">2023-08-05T07:33:00Z</dcterms:modified>
</cp:coreProperties>
</file>